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42" w:rsidRPr="00776A42" w:rsidRDefault="00776A42" w:rsidP="00776A42">
      <w:pPr>
        <w:rPr>
          <w:rFonts w:ascii="Times New Roman" w:hAnsi="Times New Roman" w:cs="Times New Roman"/>
          <w:sz w:val="24"/>
          <w:szCs w:val="24"/>
        </w:rPr>
      </w:pPr>
      <w:r w:rsidRPr="00776A42">
        <w:rPr>
          <w:rFonts w:ascii="Times New Roman" w:hAnsi="Times New Roman" w:cs="Times New Roman"/>
          <w:sz w:val="24"/>
          <w:szCs w:val="24"/>
        </w:rPr>
        <w:t>CONTACT</w:t>
      </w:r>
      <w:proofErr w:type="gramStart"/>
      <w:r w:rsidRPr="00776A42">
        <w:rPr>
          <w:rFonts w:ascii="Times New Roman" w:hAnsi="Times New Roman" w:cs="Times New Roman"/>
          <w:sz w:val="24"/>
          <w:szCs w:val="24"/>
        </w:rPr>
        <w:t>:</w:t>
      </w:r>
      <w:proofErr w:type="gramEnd"/>
      <w:r w:rsidRPr="00776A42">
        <w:rPr>
          <w:rFonts w:ascii="Times New Roman" w:hAnsi="Times New Roman" w:cs="Times New Roman"/>
          <w:sz w:val="24"/>
          <w:szCs w:val="24"/>
        </w:rPr>
        <w:br/>
        <w:t>Navindren Hodges</w:t>
      </w:r>
      <w:r w:rsidRPr="00776A42">
        <w:rPr>
          <w:rFonts w:ascii="Times New Roman" w:hAnsi="Times New Roman" w:cs="Times New Roman"/>
          <w:sz w:val="24"/>
          <w:szCs w:val="24"/>
        </w:rPr>
        <w:br/>
        <w:t>(212) 333-2640</w:t>
      </w:r>
      <w:r w:rsidRPr="00776A42">
        <w:rPr>
          <w:rFonts w:ascii="Times New Roman" w:hAnsi="Times New Roman" w:cs="Times New Roman"/>
          <w:sz w:val="24"/>
          <w:szCs w:val="24"/>
        </w:rPr>
        <w:br/>
        <w:t>info@billhodgesgallery.com</w:t>
      </w:r>
    </w:p>
    <w:p w:rsidR="00776A42" w:rsidRPr="00776A42" w:rsidRDefault="00776A42" w:rsidP="00776A42">
      <w:pPr>
        <w:jc w:val="both"/>
        <w:rPr>
          <w:rFonts w:ascii="Times New Roman" w:hAnsi="Times New Roman" w:cs="Times New Roman"/>
          <w:sz w:val="24"/>
          <w:szCs w:val="24"/>
        </w:rPr>
      </w:pPr>
      <w:r w:rsidRPr="00776A42">
        <w:rPr>
          <w:rFonts w:ascii="Times New Roman" w:hAnsi="Times New Roman" w:cs="Times New Roman"/>
          <w:sz w:val="24"/>
          <w:szCs w:val="24"/>
        </w:rPr>
        <w:t>FOR IMMEDIATE RELEASE</w:t>
      </w:r>
    </w:p>
    <w:p w:rsidR="00776A42" w:rsidRPr="00776A42" w:rsidRDefault="00776A42" w:rsidP="00776A42">
      <w:pPr>
        <w:jc w:val="center"/>
        <w:rPr>
          <w:rFonts w:ascii="Times New Roman" w:hAnsi="Times New Roman" w:cs="Times New Roman"/>
          <w:i/>
          <w:iCs/>
          <w:sz w:val="24"/>
          <w:szCs w:val="24"/>
        </w:rPr>
      </w:pPr>
      <w:r w:rsidRPr="00776A42">
        <w:rPr>
          <w:rFonts w:ascii="Times New Roman" w:hAnsi="Times New Roman" w:cs="Times New Roman"/>
          <w:b/>
          <w:bCs/>
          <w:sz w:val="24"/>
          <w:szCs w:val="24"/>
        </w:rPr>
        <w:t xml:space="preserve">Bill Hodges Gallery Celebrates 150 years of African American Artists </w:t>
      </w:r>
      <w:r w:rsidRPr="00776A42">
        <w:rPr>
          <w:rFonts w:ascii="Times New Roman" w:hAnsi="Times New Roman" w:cs="Times New Roman"/>
          <w:b/>
          <w:bCs/>
          <w:sz w:val="24"/>
          <w:szCs w:val="24"/>
        </w:rPr>
        <w:br/>
      </w:r>
      <w:r w:rsidR="00E30B8C">
        <w:rPr>
          <w:rFonts w:ascii="Times New Roman" w:hAnsi="Times New Roman" w:cs="Times New Roman"/>
          <w:i/>
          <w:iCs/>
          <w:sz w:val="24"/>
          <w:szCs w:val="24"/>
        </w:rPr>
        <w:t>Decades of A</w:t>
      </w:r>
      <w:r w:rsidRPr="00776A42">
        <w:rPr>
          <w:rFonts w:ascii="Times New Roman" w:hAnsi="Times New Roman" w:cs="Times New Roman"/>
          <w:i/>
          <w:iCs/>
          <w:sz w:val="24"/>
          <w:szCs w:val="24"/>
        </w:rPr>
        <w:t>cquisitions</w:t>
      </w:r>
    </w:p>
    <w:p w:rsidR="00776A42" w:rsidRPr="00776A42" w:rsidRDefault="00776A42" w:rsidP="00776A42">
      <w:pPr>
        <w:rPr>
          <w:rFonts w:ascii="Times New Roman" w:hAnsi="Times New Roman" w:cs="Times New Roman"/>
          <w:sz w:val="24"/>
          <w:szCs w:val="24"/>
        </w:rPr>
      </w:pPr>
      <w:r w:rsidRPr="00776A42">
        <w:rPr>
          <w:rFonts w:ascii="Times New Roman" w:hAnsi="Times New Roman" w:cs="Times New Roman"/>
          <w:sz w:val="24"/>
          <w:szCs w:val="24"/>
        </w:rPr>
        <w:t>529 West 20</w:t>
      </w:r>
      <w:r w:rsidRPr="00776A42">
        <w:rPr>
          <w:rFonts w:ascii="Times New Roman" w:hAnsi="Times New Roman" w:cs="Times New Roman"/>
          <w:sz w:val="24"/>
          <w:szCs w:val="24"/>
          <w:vertAlign w:val="superscript"/>
        </w:rPr>
        <w:t>th</w:t>
      </w:r>
      <w:r w:rsidRPr="00776A42">
        <w:rPr>
          <w:rFonts w:ascii="Times New Roman" w:hAnsi="Times New Roman" w:cs="Times New Roman"/>
          <w:sz w:val="24"/>
          <w:szCs w:val="24"/>
        </w:rPr>
        <w:t xml:space="preserve"> Street, New York, NY 10011</w:t>
      </w:r>
      <w:r w:rsidRPr="00776A42">
        <w:rPr>
          <w:rFonts w:ascii="Times New Roman" w:hAnsi="Times New Roman" w:cs="Times New Roman"/>
          <w:sz w:val="24"/>
          <w:szCs w:val="24"/>
        </w:rPr>
        <w:br/>
      </w:r>
      <w:r w:rsidR="000E65DB">
        <w:rPr>
          <w:rFonts w:ascii="Times New Roman" w:hAnsi="Times New Roman" w:cs="Times New Roman"/>
          <w:sz w:val="24"/>
          <w:szCs w:val="24"/>
        </w:rPr>
        <w:t>24 February</w:t>
      </w:r>
      <w:r w:rsidRPr="00776A42">
        <w:rPr>
          <w:rFonts w:ascii="Times New Roman" w:hAnsi="Times New Roman" w:cs="Times New Roman"/>
          <w:sz w:val="24"/>
          <w:szCs w:val="24"/>
        </w:rPr>
        <w:t xml:space="preserve"> – </w:t>
      </w:r>
      <w:r w:rsidR="000E65DB">
        <w:rPr>
          <w:rFonts w:ascii="Times New Roman" w:hAnsi="Times New Roman" w:cs="Times New Roman"/>
          <w:sz w:val="24"/>
          <w:szCs w:val="24"/>
        </w:rPr>
        <w:t>23 April</w:t>
      </w:r>
      <w:r w:rsidRPr="00776A42">
        <w:rPr>
          <w:rFonts w:ascii="Times New Roman" w:hAnsi="Times New Roman" w:cs="Times New Roman"/>
          <w:sz w:val="24"/>
          <w:szCs w:val="24"/>
        </w:rPr>
        <w:t>, 2022</w:t>
      </w:r>
    </w:p>
    <w:p w:rsidR="00CC5BAC" w:rsidRDefault="00776A42" w:rsidP="00776A42">
      <w:pPr>
        <w:jc w:val="both"/>
        <w:rPr>
          <w:rFonts w:ascii="Times New Roman" w:hAnsi="Times New Roman" w:cs="Times New Roman"/>
          <w:sz w:val="24"/>
          <w:szCs w:val="24"/>
          <w:lang w:eastAsia="zh-CN"/>
        </w:rPr>
      </w:pPr>
      <w:r>
        <w:rPr>
          <w:rFonts w:ascii="Times New Roman" w:hAnsi="Times New Roman" w:cs="Times New Roman"/>
          <w:noProof/>
          <w:sz w:val="24"/>
          <w:szCs w:val="24"/>
          <w:lang w:eastAsia="zh-CN"/>
        </w:rPr>
        <w:drawing>
          <wp:anchor distT="0" distB="0" distL="114300" distR="114300" simplePos="0" relativeHeight="251660288" behindDoc="0" locked="0" layoutInCell="1" allowOverlap="1">
            <wp:simplePos x="0" y="0"/>
            <wp:positionH relativeFrom="column">
              <wp:posOffset>-47625</wp:posOffset>
            </wp:positionH>
            <wp:positionV relativeFrom="paragraph">
              <wp:posOffset>90805</wp:posOffset>
            </wp:positionV>
            <wp:extent cx="2245995" cy="1181100"/>
            <wp:effectExtent l="19050" t="0" r="1905" b="0"/>
            <wp:wrapSquare wrapText="bothSides"/>
            <wp:docPr id="2" name="Picture 1" descr="EdwardBannister_TheHaywagon_OilPaperPanel_Frontimage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ardBannister_TheHaywagon_OilPaperPanel_Frontimage_thumb"/>
                    <pic:cNvPicPr>
                      <a:picLocks noChangeAspect="1" noChangeArrowheads="1"/>
                    </pic:cNvPicPr>
                  </pic:nvPicPr>
                  <pic:blipFill>
                    <a:blip r:embed="rId7" cstate="print"/>
                    <a:srcRect/>
                    <a:stretch>
                      <a:fillRect/>
                    </a:stretch>
                  </pic:blipFill>
                  <pic:spPr bwMode="auto">
                    <a:xfrm>
                      <a:off x="0" y="0"/>
                      <a:ext cx="2245995" cy="1181100"/>
                    </a:xfrm>
                    <a:prstGeom prst="rect">
                      <a:avLst/>
                    </a:prstGeom>
                    <a:noFill/>
                    <a:ln w="9525">
                      <a:noFill/>
                      <a:miter lim="800000"/>
                      <a:headEnd/>
                      <a:tailEnd/>
                    </a:ln>
                  </pic:spPr>
                </pic:pic>
              </a:graphicData>
            </a:graphic>
          </wp:anchor>
        </w:drawing>
      </w:r>
      <w:r w:rsidRPr="00776A42">
        <w:rPr>
          <w:rFonts w:ascii="Times New Roman" w:hAnsi="Times New Roman" w:cs="Times New Roman"/>
          <w:sz w:val="24"/>
          <w:szCs w:val="24"/>
        </w:rPr>
        <w:t xml:space="preserve">NEW YORK, NY, </w:t>
      </w:r>
      <w:r w:rsidR="000E65DB">
        <w:rPr>
          <w:rFonts w:ascii="Times New Roman" w:hAnsi="Times New Roman" w:cs="Times New Roman"/>
          <w:sz w:val="24"/>
          <w:szCs w:val="24"/>
        </w:rPr>
        <w:t>11 February</w:t>
      </w:r>
      <w:r w:rsidRPr="00776A42">
        <w:rPr>
          <w:rFonts w:ascii="Times New Roman" w:hAnsi="Times New Roman" w:cs="Times New Roman"/>
          <w:sz w:val="24"/>
          <w:szCs w:val="24"/>
        </w:rPr>
        <w:t>, 2022 – Since 1979, the Bill Hodges Gallery has established itself as a collector and exhibitor of works by underrepresented American artists. Th</w:t>
      </w:r>
      <w:r w:rsidR="00663BFB">
        <w:rPr>
          <w:rFonts w:ascii="Times New Roman" w:hAnsi="Times New Roman" w:cs="Times New Roman"/>
          <w:sz w:val="24"/>
          <w:szCs w:val="24"/>
        </w:rPr>
        <w:t>i</w:t>
      </w:r>
      <w:r w:rsidR="00186E94">
        <w:rPr>
          <w:rFonts w:ascii="Times New Roman" w:hAnsi="Times New Roman" w:cs="Times New Roman"/>
          <w:sz w:val="24"/>
          <w:szCs w:val="24"/>
        </w:rPr>
        <w:t>s</w:t>
      </w:r>
      <w:r w:rsidRPr="00776A42">
        <w:rPr>
          <w:rFonts w:ascii="Times New Roman" w:hAnsi="Times New Roman" w:cs="Times New Roman"/>
          <w:sz w:val="24"/>
          <w:szCs w:val="24"/>
        </w:rPr>
        <w:t xml:space="preserve"> upcoming exhibition offers a fascinating glimpse of American art </w:t>
      </w:r>
      <w:r w:rsidR="00663BFB">
        <w:rPr>
          <w:rFonts w:ascii="Times New Roman" w:hAnsi="Times New Roman" w:cs="Times New Roman"/>
          <w:sz w:val="24"/>
          <w:szCs w:val="24"/>
        </w:rPr>
        <w:t>by</w:t>
      </w:r>
      <w:r w:rsidRPr="00776A42">
        <w:rPr>
          <w:rFonts w:ascii="Times New Roman" w:hAnsi="Times New Roman" w:cs="Times New Roman"/>
          <w:sz w:val="24"/>
          <w:szCs w:val="24"/>
        </w:rPr>
        <w:t xml:space="preserve"> African American artists. </w:t>
      </w:r>
    </w:p>
    <w:p w:rsidR="00776A42" w:rsidRPr="00776A42" w:rsidRDefault="00AB748B" w:rsidP="00776A42">
      <w:pPr>
        <w:jc w:val="both"/>
        <w:rPr>
          <w:rFonts w:ascii="Times New Roman" w:hAnsi="Times New Roman" w:cs="Times New Roman"/>
          <w:sz w:val="24"/>
          <w:szCs w:val="24"/>
        </w:rPr>
      </w:pPr>
      <w:r w:rsidRPr="00AB748B">
        <w:rPr>
          <w:rFonts w:ascii="Times New Roman" w:hAnsi="Times New Roman" w:cs="Times New Roman"/>
          <w:sz w:val="24"/>
          <w:szCs w:val="24"/>
          <w:lang w:val="en-GB"/>
        </w:rPr>
        <w:pict>
          <v:shapetype id="_x0000_t202" coordsize="21600,21600" o:spt="202" path="m,l,21600r21600,l21600,xe">
            <v:stroke joinstyle="miter"/>
            <v:path gradientshapeok="t" o:connecttype="rect"/>
          </v:shapetype>
          <v:shape id="_x0000_s2058" type="#_x0000_t202" style="position:absolute;left:0;text-align:left;margin-left:-186pt;margin-top:18.35pt;width:176.7pt;height:49.5pt;z-index:251663360;mso-position-horizontal-relative:text;mso-position-vertical-relative:text" stroked="f">
            <v:textbox style="mso-next-textbox:#_x0000_s2058" inset="0,0,0,0">
              <w:txbxContent>
                <w:p w:rsidR="00AE0629" w:rsidRDefault="00AE0629" w:rsidP="00776A42">
                  <w:pPr>
                    <w:pStyle w:val="Caption"/>
                    <w:jc w:val="center"/>
                    <w:rPr>
                      <w:b w:val="0"/>
                      <w:color w:val="auto"/>
                      <w:lang w:eastAsia="zh-CN"/>
                    </w:rPr>
                  </w:pPr>
                  <w:r w:rsidRPr="003670BD">
                    <w:rPr>
                      <w:rFonts w:hint="eastAsia"/>
                      <w:b w:val="0"/>
                      <w:color w:val="auto"/>
                      <w:lang w:eastAsia="zh-CN"/>
                    </w:rPr>
                    <w:t>Edward Bannister</w:t>
                  </w:r>
                  <w:r>
                    <w:rPr>
                      <w:rFonts w:hint="eastAsia"/>
                      <w:b w:val="0"/>
                      <w:color w:val="auto"/>
                      <w:lang w:eastAsia="zh-CN"/>
                    </w:rPr>
                    <w:t xml:space="preserve"> (1828 </w:t>
                  </w:r>
                  <w:r>
                    <w:rPr>
                      <w:b w:val="0"/>
                      <w:color w:val="auto"/>
                      <w:lang w:eastAsia="zh-CN"/>
                    </w:rPr>
                    <w:t>–</w:t>
                  </w:r>
                  <w:r>
                    <w:rPr>
                      <w:rFonts w:hint="eastAsia"/>
                      <w:b w:val="0"/>
                      <w:color w:val="auto"/>
                      <w:lang w:eastAsia="zh-CN"/>
                    </w:rPr>
                    <w:t xml:space="preserve"> 1901)</w:t>
                  </w:r>
                  <w:r w:rsidRPr="003670BD">
                    <w:rPr>
                      <w:b w:val="0"/>
                      <w:color w:val="auto"/>
                      <w:lang w:eastAsia="zh-CN"/>
                    </w:rPr>
                    <w:br/>
                  </w:r>
                  <w:r w:rsidRPr="003670BD">
                    <w:rPr>
                      <w:rFonts w:hint="eastAsia"/>
                      <w:b w:val="0"/>
                      <w:i/>
                      <w:color w:val="auto"/>
                      <w:lang w:eastAsia="zh-CN"/>
                    </w:rPr>
                    <w:t>The Hay Wagon,</w:t>
                  </w:r>
                  <w:r w:rsidRPr="003670BD">
                    <w:rPr>
                      <w:rFonts w:hint="eastAsia"/>
                      <w:b w:val="0"/>
                      <w:color w:val="auto"/>
                      <w:lang w:eastAsia="zh-CN"/>
                    </w:rPr>
                    <w:t xml:space="preserve"> Undated</w:t>
                  </w:r>
                  <w:r w:rsidRPr="003670BD">
                    <w:rPr>
                      <w:b w:val="0"/>
                      <w:color w:val="auto"/>
                      <w:lang w:eastAsia="zh-CN"/>
                    </w:rPr>
                    <w:br/>
                  </w:r>
                  <w:r w:rsidRPr="003670BD">
                    <w:rPr>
                      <w:rFonts w:hint="eastAsia"/>
                      <w:b w:val="0"/>
                      <w:color w:val="auto"/>
                      <w:lang w:eastAsia="zh-CN"/>
                    </w:rPr>
                    <w:t>Oil on paper</w:t>
                  </w:r>
                  <w:r>
                    <w:rPr>
                      <w:rFonts w:hint="eastAsia"/>
                      <w:b w:val="0"/>
                      <w:color w:val="auto"/>
                      <w:lang w:eastAsia="zh-CN"/>
                    </w:rPr>
                    <w:t>,</w:t>
                  </w:r>
                  <w:r w:rsidRPr="003670BD">
                    <w:rPr>
                      <w:rFonts w:hint="eastAsia"/>
                      <w:b w:val="0"/>
                      <w:color w:val="auto"/>
                      <w:lang w:eastAsia="zh-CN"/>
                    </w:rPr>
                    <w:t xml:space="preserve"> laid down on panel</w:t>
                  </w:r>
                  <w:r>
                    <w:rPr>
                      <w:b w:val="0"/>
                      <w:color w:val="auto"/>
                      <w:lang w:eastAsia="zh-CN"/>
                    </w:rPr>
                    <w:br/>
                  </w:r>
                  <w:r>
                    <w:rPr>
                      <w:rFonts w:hint="eastAsia"/>
                      <w:b w:val="0"/>
                      <w:color w:val="auto"/>
                      <w:lang w:eastAsia="zh-CN"/>
                    </w:rPr>
                    <w:t xml:space="preserve"> </w:t>
                  </w:r>
                  <w:r>
                    <w:rPr>
                      <w:rFonts w:hint="eastAsia"/>
                      <w:b w:val="0"/>
                      <w:color w:val="auto"/>
                      <w:lang w:eastAsia="zh-CN"/>
                    </w:rPr>
                    <w:br/>
                    <w:t xml:space="preserve"> </w:t>
                  </w:r>
                </w:p>
                <w:p w:rsidR="00AE0629" w:rsidRDefault="00AE0629" w:rsidP="00776A42">
                  <w:pPr>
                    <w:rPr>
                      <w:lang w:val="en-GB" w:eastAsia="zh-CN"/>
                    </w:rPr>
                  </w:pPr>
                </w:p>
                <w:p w:rsidR="00AE0629" w:rsidRDefault="00AE0629" w:rsidP="00776A42">
                  <w:pPr>
                    <w:rPr>
                      <w:lang w:val="en-GB" w:eastAsia="zh-CN"/>
                    </w:rPr>
                  </w:pPr>
                </w:p>
                <w:p w:rsidR="00AE0629" w:rsidRPr="00776A42" w:rsidRDefault="00AE0629" w:rsidP="00776A42">
                  <w:pPr>
                    <w:rPr>
                      <w:lang w:val="en-GB" w:eastAsia="zh-CN"/>
                    </w:rPr>
                  </w:pPr>
                </w:p>
              </w:txbxContent>
            </v:textbox>
            <w10:wrap type="square"/>
          </v:shape>
        </w:pict>
      </w:r>
      <w:r w:rsidR="00776A42" w:rsidRPr="00776A42">
        <w:rPr>
          <w:rFonts w:ascii="Times New Roman" w:hAnsi="Times New Roman" w:cs="Times New Roman"/>
          <w:i/>
          <w:iCs/>
          <w:sz w:val="24"/>
          <w:szCs w:val="24"/>
        </w:rPr>
        <w:t xml:space="preserve">Decades of Acquisitions: Works on Paper from the Collection </w:t>
      </w:r>
      <w:r w:rsidR="00776A42" w:rsidRPr="00776A42">
        <w:rPr>
          <w:rFonts w:ascii="Times New Roman" w:hAnsi="Times New Roman" w:cs="Times New Roman"/>
          <w:sz w:val="24"/>
          <w:szCs w:val="24"/>
        </w:rPr>
        <w:t>presents</w:t>
      </w:r>
      <w:r w:rsidR="00E30B8C">
        <w:rPr>
          <w:rFonts w:ascii="Times New Roman" w:hAnsi="Times New Roman" w:cs="Times New Roman" w:hint="eastAsia"/>
          <w:sz w:val="24"/>
          <w:szCs w:val="24"/>
          <w:lang w:eastAsia="zh-CN"/>
        </w:rPr>
        <w:t xml:space="preserve"> rarely seen</w:t>
      </w:r>
      <w:r w:rsidR="00776A42" w:rsidRPr="00776A42">
        <w:rPr>
          <w:rFonts w:ascii="Times New Roman" w:hAnsi="Times New Roman" w:cs="Times New Roman"/>
          <w:sz w:val="24"/>
          <w:szCs w:val="24"/>
        </w:rPr>
        <w:t xml:space="preserve"> contemporary prints</w:t>
      </w:r>
      <w:r w:rsidR="00CC5BAC">
        <w:rPr>
          <w:rFonts w:ascii="Times New Roman" w:hAnsi="Times New Roman" w:cs="Times New Roman" w:hint="eastAsia"/>
          <w:sz w:val="24"/>
          <w:szCs w:val="24"/>
          <w:lang w:eastAsia="zh-CN"/>
        </w:rPr>
        <w:t xml:space="preserve">, </w:t>
      </w:r>
      <w:r w:rsidR="00CC5BAC">
        <w:rPr>
          <w:rFonts w:ascii="Times New Roman" w:hAnsi="Times New Roman" w:cs="Times New Roman"/>
          <w:sz w:val="24"/>
          <w:szCs w:val="24"/>
        </w:rPr>
        <w:t>drawings</w:t>
      </w:r>
      <w:r w:rsidR="00CC5BAC">
        <w:rPr>
          <w:rFonts w:ascii="Times New Roman" w:hAnsi="Times New Roman" w:cs="Times New Roman" w:hint="eastAsia"/>
          <w:sz w:val="24"/>
          <w:szCs w:val="24"/>
          <w:lang w:eastAsia="zh-CN"/>
        </w:rPr>
        <w:t xml:space="preserve">, and paintings on paper </w:t>
      </w:r>
      <w:r w:rsidR="00776A42" w:rsidRPr="00776A42">
        <w:rPr>
          <w:rFonts w:ascii="Times New Roman" w:hAnsi="Times New Roman" w:cs="Times New Roman"/>
          <w:sz w:val="24"/>
          <w:szCs w:val="24"/>
        </w:rPr>
        <w:t>in the collection, ranging from the conceptual to the religious, the landscape, the abstract, and the poetic.</w:t>
      </w:r>
    </w:p>
    <w:p w:rsidR="00776A42" w:rsidRPr="00776A42" w:rsidRDefault="00776A42" w:rsidP="00776A42">
      <w:pPr>
        <w:jc w:val="both"/>
        <w:rPr>
          <w:rFonts w:ascii="Times New Roman" w:hAnsi="Times New Roman" w:cs="Times New Roman"/>
          <w:sz w:val="24"/>
          <w:szCs w:val="24"/>
        </w:rPr>
      </w:pPr>
      <w:r w:rsidRPr="00776A42">
        <w:rPr>
          <w:rFonts w:ascii="Times New Roman" w:hAnsi="Times New Roman" w:cs="Times New Roman"/>
          <w:sz w:val="24"/>
          <w:szCs w:val="24"/>
        </w:rPr>
        <w:t xml:space="preserve">The exhibition’s earliest work is by one of its best-known artists. Edward M. Bannister’s </w:t>
      </w:r>
      <w:r w:rsidRPr="00776A42">
        <w:rPr>
          <w:rFonts w:ascii="Times New Roman" w:hAnsi="Times New Roman" w:cs="Times New Roman"/>
          <w:i/>
          <w:iCs/>
          <w:sz w:val="24"/>
          <w:szCs w:val="24"/>
        </w:rPr>
        <w:t>The Hay Wagon</w:t>
      </w:r>
      <w:r w:rsidRPr="00776A42">
        <w:rPr>
          <w:rFonts w:ascii="Times New Roman" w:hAnsi="Times New Roman" w:cs="Times New Roman"/>
          <w:sz w:val="24"/>
          <w:szCs w:val="24"/>
        </w:rPr>
        <w:t xml:space="preserve"> is thought to have been painted in the early 1880s, as Bannister began to bring impressionistic techniques to bear on his bucolic, Barbizon-inspired landscapes. </w:t>
      </w:r>
    </w:p>
    <w:p w:rsidR="00776A42" w:rsidRPr="00776A42" w:rsidRDefault="00776A42" w:rsidP="00776A42">
      <w:pPr>
        <w:jc w:val="both"/>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1661312" behindDoc="0" locked="0" layoutInCell="1" allowOverlap="1">
            <wp:simplePos x="0" y="0"/>
            <wp:positionH relativeFrom="column">
              <wp:posOffset>4867275</wp:posOffset>
            </wp:positionH>
            <wp:positionV relativeFrom="paragraph">
              <wp:posOffset>17780</wp:posOffset>
            </wp:positionV>
            <wp:extent cx="1095375" cy="1638300"/>
            <wp:effectExtent l="19050" t="0" r="9525" b="0"/>
            <wp:wrapSquare wrapText="bothSides"/>
            <wp:docPr id="3" name="Picture 10" descr="Minst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strel"/>
                    <pic:cNvPicPr>
                      <a:picLocks noChangeAspect="1" noChangeArrowheads="1"/>
                    </pic:cNvPicPr>
                  </pic:nvPicPr>
                  <pic:blipFill>
                    <a:blip r:embed="rId8" cstate="print"/>
                    <a:srcRect/>
                    <a:stretch>
                      <a:fillRect/>
                    </a:stretch>
                  </pic:blipFill>
                  <pic:spPr bwMode="auto">
                    <a:xfrm>
                      <a:off x="0" y="0"/>
                      <a:ext cx="1095375" cy="1638300"/>
                    </a:xfrm>
                    <a:prstGeom prst="rect">
                      <a:avLst/>
                    </a:prstGeom>
                    <a:noFill/>
                    <a:ln w="9525">
                      <a:noFill/>
                      <a:miter lim="800000"/>
                      <a:headEnd/>
                      <a:tailEnd/>
                    </a:ln>
                  </pic:spPr>
                </pic:pic>
              </a:graphicData>
            </a:graphic>
          </wp:anchor>
        </w:drawing>
      </w:r>
      <w:r w:rsidRPr="00776A42">
        <w:rPr>
          <w:rFonts w:ascii="Times New Roman" w:hAnsi="Times New Roman" w:cs="Times New Roman"/>
          <w:sz w:val="24"/>
          <w:szCs w:val="24"/>
        </w:rPr>
        <w:t xml:space="preserve">Another significant work featured in this exhibition is Lyle Ashton Harris’s </w:t>
      </w:r>
      <w:r w:rsidR="00663BFB">
        <w:rPr>
          <w:rFonts w:ascii="Times New Roman" w:hAnsi="Times New Roman" w:cs="Times New Roman"/>
          <w:sz w:val="24"/>
          <w:szCs w:val="24"/>
        </w:rPr>
        <w:t xml:space="preserve">60 x 40 inch gelatin </w:t>
      </w:r>
      <w:r w:rsidRPr="00776A42">
        <w:rPr>
          <w:rFonts w:ascii="Times New Roman" w:hAnsi="Times New Roman" w:cs="Times New Roman"/>
          <w:sz w:val="24"/>
          <w:szCs w:val="24"/>
        </w:rPr>
        <w:t xml:space="preserve">silver print </w:t>
      </w:r>
      <w:r w:rsidRPr="00776A42">
        <w:rPr>
          <w:rFonts w:ascii="Times New Roman" w:hAnsi="Times New Roman" w:cs="Times New Roman"/>
          <w:i/>
          <w:iCs/>
          <w:sz w:val="24"/>
          <w:szCs w:val="24"/>
        </w:rPr>
        <w:t>Minstrel</w:t>
      </w:r>
      <w:r w:rsidRPr="00776A42">
        <w:rPr>
          <w:rFonts w:ascii="Times New Roman" w:hAnsi="Times New Roman" w:cs="Times New Roman"/>
          <w:sz w:val="24"/>
          <w:szCs w:val="24"/>
        </w:rPr>
        <w:t xml:space="preserve">, from 1988. It portrays the artist in whiteface and a straw hat, wearing an exaggerated and perhaps mockingly histrionic frown. An early work, </w:t>
      </w:r>
      <w:r w:rsidRPr="00776A42">
        <w:rPr>
          <w:rFonts w:ascii="Times New Roman" w:hAnsi="Times New Roman" w:cs="Times New Roman"/>
          <w:i/>
          <w:iCs/>
          <w:sz w:val="24"/>
          <w:szCs w:val="24"/>
        </w:rPr>
        <w:t>Minstrel</w:t>
      </w:r>
      <w:r w:rsidRPr="00776A42">
        <w:rPr>
          <w:rFonts w:ascii="Times New Roman" w:hAnsi="Times New Roman" w:cs="Times New Roman"/>
          <w:sz w:val="24"/>
          <w:szCs w:val="24"/>
        </w:rPr>
        <w:t xml:space="preserve"> heralds Harris’s continued explorations of Black representation in the broader culture, including Harris’s identity as a queer Black man. </w:t>
      </w:r>
    </w:p>
    <w:p w:rsidR="00776A42" w:rsidRPr="00776A42" w:rsidRDefault="00AB748B" w:rsidP="00776A42">
      <w:pPr>
        <w:jc w:val="both"/>
        <w:rPr>
          <w:rFonts w:ascii="Times New Roman" w:hAnsi="Times New Roman" w:cs="Times New Roman"/>
          <w:iCs/>
          <w:sz w:val="24"/>
          <w:szCs w:val="24"/>
        </w:rPr>
      </w:pPr>
      <w:r w:rsidRPr="00AB748B">
        <w:rPr>
          <w:rFonts w:ascii="Times New Roman" w:hAnsi="Times New Roman" w:cs="Times New Roman"/>
          <w:noProof/>
          <w:sz w:val="24"/>
          <w:szCs w:val="24"/>
        </w:rPr>
        <w:pict>
          <v:shape id="_x0000_s2061" type="#_x0000_t202" style="position:absolute;left:0;text-align:left;margin-left:376.5pt;margin-top:16.25pt;width:102.75pt;height:34.05pt;z-index:251666432;mso-position-horizontal-relative:text;mso-position-vertical-relative:text" stroked="f">
            <v:textbox style="mso-next-textbox:#_x0000_s2061" inset="0,0,0,0">
              <w:txbxContent>
                <w:p w:rsidR="00AE0629" w:rsidRPr="003670BD" w:rsidRDefault="00AE0629" w:rsidP="00776A42">
                  <w:pPr>
                    <w:pStyle w:val="Caption"/>
                    <w:jc w:val="center"/>
                    <w:rPr>
                      <w:b w:val="0"/>
                      <w:noProof/>
                      <w:color w:val="auto"/>
                      <w:lang w:eastAsia="zh-CN"/>
                    </w:rPr>
                  </w:pPr>
                  <w:r>
                    <w:rPr>
                      <w:rFonts w:hint="eastAsia"/>
                      <w:b w:val="0"/>
                      <w:color w:val="auto"/>
                      <w:lang w:eastAsia="zh-CN"/>
                    </w:rPr>
                    <w:t xml:space="preserve">Lyle Ashton Harris (1965 - </w:t>
                  </w:r>
                  <w:proofErr w:type="gramStart"/>
                  <w:r>
                    <w:rPr>
                      <w:rFonts w:hint="eastAsia"/>
                      <w:b w:val="0"/>
                      <w:color w:val="auto"/>
                      <w:lang w:eastAsia="zh-CN"/>
                    </w:rPr>
                    <w:t>)</w:t>
                  </w:r>
                  <w:proofErr w:type="gramEnd"/>
                  <w:r>
                    <w:rPr>
                      <w:b w:val="0"/>
                      <w:color w:val="auto"/>
                      <w:lang w:eastAsia="zh-CN"/>
                    </w:rPr>
                    <w:br/>
                  </w:r>
                  <w:r w:rsidRPr="003670BD">
                    <w:rPr>
                      <w:rFonts w:hint="eastAsia"/>
                      <w:b w:val="0"/>
                      <w:i/>
                      <w:color w:val="auto"/>
                      <w:lang w:eastAsia="zh-CN"/>
                    </w:rPr>
                    <w:t>Minstrel,</w:t>
                  </w:r>
                  <w:r>
                    <w:rPr>
                      <w:rFonts w:hint="eastAsia"/>
                      <w:b w:val="0"/>
                      <w:color w:val="auto"/>
                      <w:lang w:eastAsia="zh-CN"/>
                    </w:rPr>
                    <w:t xml:space="preserve"> 1987-88</w:t>
                  </w:r>
                  <w:r>
                    <w:rPr>
                      <w:b w:val="0"/>
                      <w:color w:val="auto"/>
                      <w:lang w:eastAsia="zh-CN"/>
                    </w:rPr>
                    <w:br/>
                    <w:t>Photograph</w:t>
                  </w:r>
                  <w:r>
                    <w:rPr>
                      <w:b w:val="0"/>
                      <w:color w:val="auto"/>
                      <w:lang w:eastAsia="zh-CN"/>
                    </w:rPr>
                    <w:br/>
                  </w:r>
                </w:p>
              </w:txbxContent>
            </v:textbox>
            <w10:wrap type="square"/>
          </v:shape>
        </w:pict>
      </w:r>
      <w:r w:rsidR="00776A42" w:rsidRPr="00776A42">
        <w:rPr>
          <w:rFonts w:ascii="Times New Roman" w:hAnsi="Times New Roman" w:cs="Times New Roman"/>
          <w:i/>
          <w:iCs/>
          <w:sz w:val="24"/>
          <w:szCs w:val="24"/>
        </w:rPr>
        <w:t>Decades of Acquisitions</w:t>
      </w:r>
      <w:r w:rsidR="00776A42" w:rsidRPr="00776A42">
        <w:rPr>
          <w:rFonts w:ascii="Times New Roman" w:hAnsi="Times New Roman" w:cs="Times New Roman"/>
          <w:iCs/>
          <w:sz w:val="24"/>
          <w:szCs w:val="24"/>
        </w:rPr>
        <w:t xml:space="preserve"> seeks to do more that elevate the works of artists many of whom were denied the public acclaim they deserved and tell the story of American art itself.</w:t>
      </w:r>
    </w:p>
    <w:p w:rsidR="00776A42" w:rsidRPr="00776A42" w:rsidRDefault="00776A42" w:rsidP="00776A42">
      <w:pPr>
        <w:jc w:val="both"/>
        <w:rPr>
          <w:rFonts w:ascii="Times New Roman" w:hAnsi="Times New Roman" w:cs="Times New Roman"/>
          <w:iCs/>
          <w:sz w:val="24"/>
          <w:szCs w:val="24"/>
        </w:rPr>
      </w:pPr>
      <w:r w:rsidRPr="00776A42">
        <w:rPr>
          <w:rFonts w:ascii="Times New Roman" w:hAnsi="Times New Roman" w:cs="Times New Roman"/>
          <w:iCs/>
          <w:sz w:val="24"/>
          <w:szCs w:val="24"/>
        </w:rPr>
        <w:t xml:space="preserve">Historically, American artists have had an uneasy relationship with those from other countries, especially continental Europe. Black American artists have also had a fraught relationship with </w:t>
      </w:r>
      <w:r w:rsidRPr="00776A42">
        <w:rPr>
          <w:rFonts w:ascii="Times New Roman" w:hAnsi="Times New Roman" w:cs="Times New Roman"/>
          <w:iCs/>
          <w:sz w:val="24"/>
          <w:szCs w:val="24"/>
        </w:rPr>
        <w:lastRenderedPageBreak/>
        <w:t xml:space="preserve">their domestic peers and audiences. </w:t>
      </w:r>
      <w:r w:rsidR="007E09E0">
        <w:rPr>
          <w:rFonts w:ascii="Times New Roman" w:hAnsi="Times New Roman" w:cs="Times New Roman"/>
          <w:iCs/>
          <w:sz w:val="24"/>
          <w:szCs w:val="24"/>
        </w:rPr>
        <w:t>The artists celebrated in this</w:t>
      </w:r>
      <w:r w:rsidR="007E09E0" w:rsidRPr="007E09E0">
        <w:rPr>
          <w:rFonts w:ascii="Times New Roman" w:hAnsi="Times New Roman" w:cs="Times New Roman"/>
          <w:iCs/>
          <w:sz w:val="24"/>
          <w:szCs w:val="24"/>
        </w:rPr>
        <w:t xml:space="preserve"> new exhibition saw these tensions, as insultingly dismissive as they sometimes were, as opportunities to develop new visual vernaculars that reflect the American experience more truly—and sometimes painfully—than those of their white counterparts.</w:t>
      </w:r>
    </w:p>
    <w:p w:rsidR="00776A42" w:rsidRPr="00776A42" w:rsidRDefault="00776A42" w:rsidP="00776A42">
      <w:pPr>
        <w:jc w:val="both"/>
        <w:rPr>
          <w:rFonts w:ascii="Times New Roman" w:hAnsi="Times New Roman" w:cs="Times New Roman"/>
          <w:iCs/>
          <w:sz w:val="24"/>
          <w:szCs w:val="24"/>
        </w:rPr>
      </w:pPr>
      <w:r w:rsidRPr="00776A42">
        <w:rPr>
          <w:rFonts w:ascii="Times New Roman" w:hAnsi="Times New Roman" w:cs="Times New Roman"/>
          <w:iCs/>
          <w:sz w:val="24"/>
          <w:szCs w:val="24"/>
        </w:rPr>
        <w:t>Bannister's landscapes are perfect early examples of this. He and William Morris Hunt were the chief American representatives of the Barbizon school. Both became celebrated, award-winning painters during their lifetime in the late 19</w:t>
      </w:r>
      <w:r w:rsidRPr="00776A42">
        <w:rPr>
          <w:rFonts w:ascii="Times New Roman" w:hAnsi="Times New Roman" w:cs="Times New Roman"/>
          <w:iCs/>
          <w:sz w:val="24"/>
          <w:szCs w:val="24"/>
          <w:vertAlign w:val="superscript"/>
        </w:rPr>
        <w:t>th</w:t>
      </w:r>
      <w:r w:rsidRPr="00776A42">
        <w:rPr>
          <w:rFonts w:ascii="Times New Roman" w:hAnsi="Times New Roman" w:cs="Times New Roman"/>
          <w:iCs/>
          <w:sz w:val="24"/>
          <w:szCs w:val="24"/>
        </w:rPr>
        <w:t xml:space="preserve"> Century. But Bannister saw, earlier and more clearly than Hunt, that Impressionism allowed a different and for him a powerfully necessary relationship between the artist and the viewer.</w:t>
      </w:r>
    </w:p>
    <w:p w:rsidR="00776A42" w:rsidRPr="00776A42" w:rsidRDefault="00776A42" w:rsidP="00776A42">
      <w:pPr>
        <w:jc w:val="both"/>
        <w:rPr>
          <w:rFonts w:ascii="Times New Roman" w:hAnsi="Times New Roman" w:cs="Times New Roman"/>
          <w:iCs/>
          <w:sz w:val="24"/>
          <w:szCs w:val="24"/>
        </w:rPr>
      </w:pPr>
      <w:r w:rsidRPr="00776A42">
        <w:rPr>
          <w:rFonts w:ascii="Times New Roman" w:hAnsi="Times New Roman" w:cs="Times New Roman"/>
          <w:iCs/>
          <w:sz w:val="24"/>
          <w:szCs w:val="24"/>
        </w:rPr>
        <w:t>The upcoming exhibition continues this theme by presenting artists using diverse materials and printmaking techniques.</w:t>
      </w:r>
    </w:p>
    <w:p w:rsidR="00776A42" w:rsidRPr="00776A42" w:rsidRDefault="00776A42" w:rsidP="00776A42">
      <w:pPr>
        <w:jc w:val="both"/>
        <w:rPr>
          <w:rFonts w:ascii="Times New Roman" w:hAnsi="Times New Roman" w:cs="Times New Roman"/>
          <w:sz w:val="24"/>
          <w:szCs w:val="24"/>
        </w:rPr>
      </w:pPr>
      <w:r w:rsidRPr="00776A42">
        <w:rPr>
          <w:rFonts w:ascii="Times New Roman" w:hAnsi="Times New Roman" w:cs="Times New Roman"/>
          <w:sz w:val="24"/>
          <w:szCs w:val="24"/>
        </w:rPr>
        <w:t xml:space="preserve">Hale Woodruff’s </w:t>
      </w:r>
      <w:r w:rsidRPr="00776A42">
        <w:rPr>
          <w:rFonts w:ascii="Times New Roman" w:hAnsi="Times New Roman" w:cs="Times New Roman"/>
          <w:i/>
          <w:iCs/>
          <w:sz w:val="24"/>
          <w:szCs w:val="24"/>
        </w:rPr>
        <w:t>Torso</w:t>
      </w:r>
      <w:r w:rsidRPr="00776A42">
        <w:rPr>
          <w:rFonts w:ascii="Times New Roman" w:hAnsi="Times New Roman" w:cs="Times New Roman"/>
          <w:sz w:val="24"/>
          <w:szCs w:val="24"/>
        </w:rPr>
        <w:t xml:space="preserve">, a sketch in crayon and charcoal drawn ca. 1960, finds the artist returning to the abstract approach he studied in France, where he married cubist techniques with African themes under the mentorship of expatriate American artist Henry Ossawa Tanner. Woodruff had set abstraction aside after returning from France to document African-American life in the South and traveling to Mexico to study under famed muralist Diego Rivera. </w:t>
      </w:r>
      <w:r w:rsidRPr="00776A42">
        <w:rPr>
          <w:rFonts w:ascii="Times New Roman" w:hAnsi="Times New Roman" w:cs="Times New Roman"/>
          <w:i/>
          <w:iCs/>
          <w:sz w:val="24"/>
          <w:szCs w:val="24"/>
        </w:rPr>
        <w:t>Torso</w:t>
      </w:r>
      <w:r w:rsidRPr="00776A42">
        <w:rPr>
          <w:rFonts w:ascii="Times New Roman" w:hAnsi="Times New Roman" w:cs="Times New Roman"/>
          <w:sz w:val="24"/>
          <w:szCs w:val="24"/>
        </w:rPr>
        <w:t xml:space="preserve"> announces the last great movement of Woodruff’s artistic life, in which he used cubist techniques explicitly to explore the metaphysical underpinnings of African-American life.</w:t>
      </w:r>
    </w:p>
    <w:p w:rsidR="00776A42" w:rsidRPr="00776A42" w:rsidRDefault="00776A42" w:rsidP="00776A42">
      <w:pPr>
        <w:jc w:val="both"/>
        <w:rPr>
          <w:rFonts w:ascii="Times New Roman" w:hAnsi="Times New Roman" w:cs="Times New Roman"/>
          <w:sz w:val="24"/>
          <w:szCs w:val="24"/>
        </w:rPr>
      </w:pPr>
      <w:r w:rsidRPr="00776A42">
        <w:rPr>
          <w:rFonts w:ascii="Times New Roman" w:hAnsi="Times New Roman" w:cs="Times New Roman"/>
          <w:noProof/>
          <w:sz w:val="24"/>
          <w:szCs w:val="24"/>
          <w:lang w:eastAsia="zh-CN"/>
        </w:rPr>
        <w:drawing>
          <wp:anchor distT="0" distB="0" distL="114300" distR="114300" simplePos="0" relativeHeight="251662336" behindDoc="0" locked="0" layoutInCell="1" allowOverlap="1">
            <wp:simplePos x="0" y="0"/>
            <wp:positionH relativeFrom="column">
              <wp:posOffset>19050</wp:posOffset>
            </wp:positionH>
            <wp:positionV relativeFrom="paragraph">
              <wp:posOffset>6985</wp:posOffset>
            </wp:positionV>
            <wp:extent cx="1914525" cy="186690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14525" cy="1866900"/>
                    </a:xfrm>
                    <a:prstGeom prst="rect">
                      <a:avLst/>
                    </a:prstGeom>
                    <a:noFill/>
                    <a:ln w="9525">
                      <a:noFill/>
                      <a:miter lim="800000"/>
                      <a:headEnd/>
                      <a:tailEnd/>
                    </a:ln>
                  </pic:spPr>
                </pic:pic>
              </a:graphicData>
            </a:graphic>
          </wp:anchor>
        </w:drawing>
      </w:r>
      <w:r w:rsidR="00AB748B" w:rsidRPr="00AB748B">
        <w:rPr>
          <w:rFonts w:ascii="Times New Roman" w:hAnsi="Times New Roman" w:cs="Times New Roman"/>
          <w:sz w:val="24"/>
          <w:szCs w:val="24"/>
          <w:lang w:val="en-GB"/>
        </w:rPr>
        <w:pict>
          <v:shape id="_x0000_s2060" type="#_x0000_t202" style="position:absolute;left:0;text-align:left;margin-left:1.5pt;margin-top:147.95pt;width:150.65pt;height:32.1pt;z-index:251665408;mso-position-horizontal-relative:text;mso-position-vertical-relative:text" stroked="f">
            <v:textbox style="mso-next-textbox:#_x0000_s2060" inset="0,0,0,0">
              <w:txbxContent>
                <w:p w:rsidR="00AE0629" w:rsidRPr="003670BD" w:rsidRDefault="00AE0629" w:rsidP="00776A42">
                  <w:pPr>
                    <w:pStyle w:val="Caption"/>
                    <w:jc w:val="center"/>
                    <w:rPr>
                      <w:rFonts w:ascii="Times New Roman" w:hAnsi="Times New Roman" w:cs="Times New Roman"/>
                      <w:b w:val="0"/>
                      <w:noProof/>
                      <w:color w:val="auto"/>
                      <w:sz w:val="24"/>
                      <w:szCs w:val="24"/>
                      <w:lang w:eastAsia="zh-CN"/>
                    </w:rPr>
                  </w:pPr>
                  <w:r>
                    <w:rPr>
                      <w:rFonts w:hint="eastAsia"/>
                      <w:b w:val="0"/>
                      <w:color w:val="auto"/>
                      <w:lang w:eastAsia="zh-CN"/>
                    </w:rPr>
                    <w:t xml:space="preserve">Stanley Whitney (1946 - </w:t>
                  </w:r>
                  <w:proofErr w:type="gramStart"/>
                  <w:r>
                    <w:rPr>
                      <w:rFonts w:hint="eastAsia"/>
                      <w:b w:val="0"/>
                      <w:color w:val="auto"/>
                      <w:lang w:eastAsia="zh-CN"/>
                    </w:rPr>
                    <w:t>)</w:t>
                  </w:r>
                  <w:proofErr w:type="gramEnd"/>
                  <w:r>
                    <w:rPr>
                      <w:b w:val="0"/>
                      <w:color w:val="auto"/>
                      <w:lang w:eastAsia="zh-CN"/>
                    </w:rPr>
                    <w:br/>
                  </w:r>
                  <w:r w:rsidRPr="003670BD">
                    <w:rPr>
                      <w:rFonts w:hint="eastAsia"/>
                      <w:b w:val="0"/>
                      <w:i/>
                      <w:color w:val="auto"/>
                      <w:lang w:eastAsia="zh-CN"/>
                    </w:rPr>
                    <w:t>Stay Songs,</w:t>
                  </w:r>
                  <w:r>
                    <w:rPr>
                      <w:rFonts w:hint="eastAsia"/>
                      <w:b w:val="0"/>
                      <w:color w:val="auto"/>
                      <w:lang w:eastAsia="zh-CN"/>
                    </w:rPr>
                    <w:t xml:space="preserve"> 2002</w:t>
                  </w:r>
                  <w:r>
                    <w:rPr>
                      <w:b w:val="0"/>
                      <w:color w:val="auto"/>
                      <w:lang w:eastAsia="zh-CN"/>
                    </w:rPr>
                    <w:br/>
                  </w:r>
                  <w:r>
                    <w:rPr>
                      <w:rFonts w:hint="eastAsia"/>
                      <w:b w:val="0"/>
                      <w:color w:val="auto"/>
                      <w:lang w:eastAsia="zh-CN"/>
                    </w:rPr>
                    <w:t>Monotype on paper</w:t>
                  </w:r>
                </w:p>
              </w:txbxContent>
            </v:textbox>
            <w10:wrap type="square"/>
          </v:shape>
        </w:pict>
      </w:r>
      <w:r w:rsidRPr="00776A42">
        <w:rPr>
          <w:rFonts w:ascii="Times New Roman" w:hAnsi="Times New Roman" w:cs="Times New Roman"/>
          <w:sz w:val="24"/>
          <w:szCs w:val="24"/>
        </w:rPr>
        <w:t xml:space="preserve">On another note, Stanley Whitney is represented by his </w:t>
      </w:r>
      <w:r w:rsidR="00AE0629">
        <w:rPr>
          <w:rFonts w:ascii="Times New Roman" w:hAnsi="Times New Roman" w:cs="Times New Roman" w:hint="eastAsia"/>
          <w:sz w:val="24"/>
          <w:szCs w:val="24"/>
          <w:lang w:eastAsia="zh-CN"/>
        </w:rPr>
        <w:t>signature stacked composition of numerous saturated color fields</w:t>
      </w:r>
      <w:r w:rsidRPr="00776A42">
        <w:rPr>
          <w:rFonts w:ascii="Times New Roman" w:hAnsi="Times New Roman" w:cs="Times New Roman"/>
          <w:sz w:val="24"/>
          <w:szCs w:val="24"/>
        </w:rPr>
        <w:t xml:space="preserve">, </w:t>
      </w:r>
      <w:r w:rsidRPr="00776A42">
        <w:rPr>
          <w:rFonts w:ascii="Times New Roman" w:hAnsi="Times New Roman" w:cs="Times New Roman"/>
          <w:i/>
          <w:iCs/>
          <w:sz w:val="24"/>
          <w:szCs w:val="24"/>
        </w:rPr>
        <w:t>Stay Songs</w:t>
      </w:r>
      <w:r w:rsidRPr="00776A42">
        <w:rPr>
          <w:rFonts w:ascii="Times New Roman" w:hAnsi="Times New Roman" w:cs="Times New Roman"/>
          <w:sz w:val="24"/>
          <w:szCs w:val="24"/>
        </w:rPr>
        <w:t xml:space="preserve"> from 2002. Proceeding from Whitney’s ongoing experiments with color field painting, this work includes some of Whitney’s most ambitious and electric studies of form to date. It balances the austere and the improvisational, the parlor-room ingenuity of American quilting, and the disciplined flights of bebop jazz, making it, like the entire exhibition itself, a singular statement and a holographic representation of American art.</w:t>
      </w:r>
    </w:p>
    <w:p w:rsidR="00B33B8C" w:rsidRDefault="00776A42" w:rsidP="00B33B8C">
      <w:pPr>
        <w:jc w:val="both"/>
        <w:rPr>
          <w:rFonts w:ascii="Times New Roman" w:hAnsi="Times New Roman" w:cs="Times New Roman"/>
          <w:sz w:val="24"/>
          <w:szCs w:val="24"/>
          <w:lang w:eastAsia="zh-CN"/>
        </w:rPr>
      </w:pPr>
      <w:r w:rsidRPr="00776A42">
        <w:rPr>
          <w:rFonts w:ascii="Times New Roman" w:hAnsi="Times New Roman" w:cs="Times New Roman"/>
          <w:i/>
          <w:iCs/>
          <w:sz w:val="24"/>
          <w:szCs w:val="24"/>
        </w:rPr>
        <w:t>Decades of Acquisition</w:t>
      </w:r>
      <w:r w:rsidR="005E50B7">
        <w:rPr>
          <w:rFonts w:ascii="Times New Roman" w:hAnsi="Times New Roman" w:cs="Times New Roman" w:hint="eastAsia"/>
          <w:i/>
          <w:iCs/>
          <w:sz w:val="24"/>
          <w:szCs w:val="24"/>
          <w:lang w:eastAsia="zh-CN"/>
        </w:rPr>
        <w:t>s</w:t>
      </w:r>
      <w:r w:rsidRPr="00776A42">
        <w:rPr>
          <w:rFonts w:ascii="Times New Roman" w:hAnsi="Times New Roman" w:cs="Times New Roman"/>
          <w:i/>
          <w:iCs/>
          <w:sz w:val="24"/>
          <w:szCs w:val="24"/>
        </w:rPr>
        <w:t xml:space="preserve">: Works on Paper from the Collection </w:t>
      </w:r>
      <w:r w:rsidRPr="00776A42">
        <w:rPr>
          <w:rFonts w:ascii="Times New Roman" w:hAnsi="Times New Roman" w:cs="Times New Roman"/>
          <w:sz w:val="24"/>
          <w:szCs w:val="24"/>
        </w:rPr>
        <w:t>also</w:t>
      </w:r>
      <w:r w:rsidR="00BA556B">
        <w:rPr>
          <w:rFonts w:ascii="Times New Roman" w:hAnsi="Times New Roman" w:cs="Times New Roman" w:hint="eastAsia"/>
          <w:sz w:val="24"/>
          <w:szCs w:val="24"/>
          <w:lang w:eastAsia="zh-CN"/>
        </w:rPr>
        <w:t xml:space="preserve"> </w:t>
      </w:r>
      <w:r w:rsidRPr="00776A42">
        <w:rPr>
          <w:rFonts w:ascii="Times New Roman" w:hAnsi="Times New Roman" w:cs="Times New Roman"/>
          <w:sz w:val="24"/>
          <w:szCs w:val="24"/>
        </w:rPr>
        <w:t>features</w:t>
      </w:r>
      <w:r w:rsidR="00BA556B">
        <w:rPr>
          <w:rFonts w:ascii="Times New Roman" w:hAnsi="Times New Roman" w:cs="Times New Roman" w:hint="eastAsia"/>
          <w:sz w:val="24"/>
          <w:szCs w:val="24"/>
          <w:lang w:eastAsia="zh-CN"/>
        </w:rPr>
        <w:t xml:space="preserve"> </w:t>
      </w:r>
      <w:r w:rsidRPr="00776A42">
        <w:rPr>
          <w:rFonts w:ascii="Times New Roman" w:hAnsi="Times New Roman" w:cs="Times New Roman"/>
          <w:sz w:val="24"/>
          <w:szCs w:val="24"/>
        </w:rPr>
        <w:t>works</w:t>
      </w:r>
      <w:r w:rsidR="00BA556B">
        <w:rPr>
          <w:rFonts w:ascii="Times New Roman" w:hAnsi="Times New Roman" w:cs="Times New Roman" w:hint="eastAsia"/>
          <w:sz w:val="24"/>
          <w:szCs w:val="24"/>
          <w:lang w:eastAsia="zh-CN"/>
        </w:rPr>
        <w:t xml:space="preserve"> </w:t>
      </w:r>
      <w:r w:rsidRPr="00776A42">
        <w:rPr>
          <w:rFonts w:ascii="Times New Roman" w:hAnsi="Times New Roman" w:cs="Times New Roman"/>
          <w:sz w:val="24"/>
          <w:szCs w:val="24"/>
        </w:rPr>
        <w:t>by</w:t>
      </w:r>
      <w:r w:rsidR="00BA556B">
        <w:rPr>
          <w:rFonts w:ascii="Times New Roman" w:hAnsi="Times New Roman" w:cs="Times New Roman" w:hint="eastAsia"/>
          <w:sz w:val="24"/>
          <w:szCs w:val="24"/>
          <w:lang w:eastAsia="zh-CN"/>
        </w:rPr>
        <w:t xml:space="preserve"> </w:t>
      </w:r>
      <w:r w:rsidRPr="003065F8">
        <w:rPr>
          <w:rFonts w:ascii="Times New Roman" w:hAnsi="Times New Roman" w:cs="Times New Roman"/>
          <w:b/>
          <w:sz w:val="24"/>
          <w:szCs w:val="24"/>
        </w:rPr>
        <w:t>Wifredo</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Lam,</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Norman</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Lewis,</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Romare</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Bearden,</w:t>
      </w:r>
      <w:r w:rsidR="00BA556B">
        <w:rPr>
          <w:rFonts w:ascii="Times New Roman" w:hAnsi="Times New Roman" w:cs="Times New Roman" w:hint="eastAsia"/>
          <w:b/>
          <w:sz w:val="24"/>
          <w:szCs w:val="24"/>
          <w:lang w:eastAsia="zh-CN"/>
        </w:rPr>
        <w:t xml:space="preserve"> </w:t>
      </w:r>
      <w:proofErr w:type="spellStart"/>
      <w:r w:rsidRPr="003065F8">
        <w:rPr>
          <w:rFonts w:ascii="Times New Roman" w:hAnsi="Times New Roman" w:cs="Times New Roman"/>
          <w:b/>
          <w:sz w:val="24"/>
          <w:szCs w:val="24"/>
        </w:rPr>
        <w:t>Eldzier</w:t>
      </w:r>
      <w:proofErr w:type="spellEnd"/>
      <w:r w:rsidRPr="003065F8">
        <w:rPr>
          <w:rFonts w:ascii="Times New Roman" w:hAnsi="Times New Roman" w:cs="Times New Roman"/>
          <w:b/>
          <w:sz w:val="24"/>
          <w:szCs w:val="24"/>
        </w:rPr>
        <w:t xml:space="preserve"> </w:t>
      </w:r>
      <w:proofErr w:type="spellStart"/>
      <w:r w:rsidRPr="003065F8">
        <w:rPr>
          <w:rFonts w:ascii="Times New Roman" w:hAnsi="Times New Roman" w:cs="Times New Roman"/>
          <w:b/>
          <w:sz w:val="24"/>
          <w:szCs w:val="24"/>
        </w:rPr>
        <w:t>Cortor</w:t>
      </w:r>
      <w:proofErr w:type="spellEnd"/>
      <w:r w:rsidRPr="003065F8">
        <w:rPr>
          <w:rFonts w:ascii="Times New Roman" w:hAnsi="Times New Roman" w:cs="Times New Roman"/>
          <w:b/>
          <w:sz w:val="24"/>
          <w:szCs w:val="24"/>
        </w:rPr>
        <w:t>,</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William Carter,</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Agustin</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Cardenas,</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Benny</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Andrews,</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Richard Hunt,</w:t>
      </w:r>
      <w:r w:rsidR="00BA556B">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Charles Gaines</w:t>
      </w:r>
      <w:proofErr w:type="gramStart"/>
      <w:r w:rsidRPr="003065F8">
        <w:rPr>
          <w:rFonts w:ascii="Times New Roman" w:hAnsi="Times New Roman" w:cs="Times New Roman"/>
          <w:b/>
          <w:sz w:val="24"/>
          <w:szCs w:val="24"/>
        </w:rPr>
        <w:t>,</w:t>
      </w:r>
      <w:r w:rsidR="003065F8">
        <w:rPr>
          <w:rFonts w:ascii="Times New Roman" w:hAnsi="Times New Roman" w:cs="Times New Roman" w:hint="eastAsia"/>
          <w:b/>
          <w:sz w:val="24"/>
          <w:szCs w:val="24"/>
          <w:lang w:eastAsia="zh-CN"/>
        </w:rPr>
        <w:t xml:space="preserve"> </w:t>
      </w:r>
      <w:r w:rsidRPr="003065F8">
        <w:rPr>
          <w:rFonts w:ascii="Times New Roman" w:hAnsi="Times New Roman" w:cs="Times New Roman"/>
          <w:b/>
          <w:sz w:val="24"/>
          <w:szCs w:val="24"/>
        </w:rPr>
        <w:t xml:space="preserve"> </w:t>
      </w:r>
      <w:proofErr w:type="spellStart"/>
      <w:r w:rsidRPr="003065F8">
        <w:rPr>
          <w:rFonts w:ascii="Times New Roman" w:hAnsi="Times New Roman" w:cs="Times New Roman"/>
          <w:b/>
          <w:sz w:val="24"/>
          <w:szCs w:val="24"/>
        </w:rPr>
        <w:t>Maceo</w:t>
      </w:r>
      <w:proofErr w:type="spellEnd"/>
      <w:proofErr w:type="gramEnd"/>
      <w:r w:rsidRPr="003065F8">
        <w:rPr>
          <w:rFonts w:ascii="Times New Roman" w:hAnsi="Times New Roman" w:cs="Times New Roman"/>
          <w:b/>
          <w:sz w:val="24"/>
          <w:szCs w:val="24"/>
        </w:rPr>
        <w:t xml:space="preserve"> Mitchell, Henry Ossawa Tanner, Roy DeCarava, Carrie Mae Weems, Lorna Simpson, Willie Cole, William Villalongo, Kara Walker, and Glenn </w:t>
      </w:r>
      <w:proofErr w:type="spellStart"/>
      <w:r w:rsidRPr="003065F8">
        <w:rPr>
          <w:rFonts w:ascii="Times New Roman" w:hAnsi="Times New Roman" w:cs="Times New Roman"/>
          <w:b/>
          <w:sz w:val="24"/>
          <w:szCs w:val="24"/>
        </w:rPr>
        <w:t>Ligon</w:t>
      </w:r>
      <w:proofErr w:type="spellEnd"/>
      <w:r w:rsidRPr="003065F8">
        <w:rPr>
          <w:rFonts w:ascii="Times New Roman" w:hAnsi="Times New Roman" w:cs="Times New Roman"/>
          <w:b/>
          <w:sz w:val="24"/>
          <w:szCs w:val="24"/>
        </w:rPr>
        <w:t>.</w:t>
      </w:r>
      <w:r w:rsidRPr="00776A42">
        <w:rPr>
          <w:rFonts w:ascii="Times New Roman" w:hAnsi="Times New Roman" w:cs="Times New Roman"/>
          <w:sz w:val="24"/>
          <w:szCs w:val="24"/>
        </w:rPr>
        <w:t xml:space="preserve"> </w:t>
      </w:r>
      <w:r w:rsidR="008E721D">
        <w:rPr>
          <w:rFonts w:ascii="Times New Roman" w:hAnsi="Times New Roman" w:cs="Times New Roman"/>
          <w:sz w:val="24"/>
          <w:szCs w:val="24"/>
          <w:lang w:eastAsia="zh-CN"/>
        </w:rPr>
        <w:br/>
      </w:r>
      <w:r w:rsidR="008E721D">
        <w:rPr>
          <w:rFonts w:ascii="Times New Roman" w:hAnsi="Times New Roman" w:cs="Times New Roman"/>
          <w:sz w:val="24"/>
          <w:szCs w:val="24"/>
          <w:lang w:eastAsia="zh-CN"/>
        </w:rPr>
        <w:br/>
      </w:r>
    </w:p>
    <w:p w:rsidR="00776A42" w:rsidRPr="008E721D" w:rsidRDefault="00776A42" w:rsidP="00B33B8C">
      <w:pPr>
        <w:jc w:val="both"/>
        <w:rPr>
          <w:rFonts w:ascii="Times New Roman" w:hAnsi="Times New Roman" w:cs="Times New Roman"/>
          <w:sz w:val="24"/>
          <w:szCs w:val="24"/>
          <w:lang w:eastAsia="zh-CN"/>
        </w:rPr>
      </w:pPr>
      <w:r w:rsidRPr="00776A42">
        <w:rPr>
          <w:rFonts w:ascii="Garamond" w:hAnsi="Garamond"/>
        </w:rPr>
        <w:lastRenderedPageBreak/>
        <w:t xml:space="preserve">Bill Hodges Gallery is located at 529 W. 20th Street, suite #10E, between 10th Avenue and 11th Avenue. Our closest subway stations are 14th St. &amp; 8th Ave. (A-C-E) and 23rd St. &amp; 8th Ave. (C-E). The gallery is open Monday to Friday from 11 AM – 6 PM. </w:t>
      </w:r>
      <w:r w:rsidRPr="00776A42">
        <w:rPr>
          <w:rFonts w:ascii="Garamond" w:hAnsi="Garamond" w:hint="eastAsia"/>
        </w:rPr>
        <w:t xml:space="preserve">Saturday from 12:30 PM </w:t>
      </w:r>
      <w:r w:rsidRPr="00776A42">
        <w:rPr>
          <w:rFonts w:ascii="Garamond" w:hAnsi="Garamond"/>
        </w:rPr>
        <w:t>–</w:t>
      </w:r>
      <w:r w:rsidRPr="00776A42">
        <w:rPr>
          <w:rFonts w:ascii="Garamond" w:hAnsi="Garamond" w:hint="eastAsia"/>
        </w:rPr>
        <w:t xml:space="preserve"> 5:30 PM. </w:t>
      </w:r>
      <w:r w:rsidRPr="00776A42">
        <w:rPr>
          <w:rFonts w:ascii="Garamond" w:hAnsi="Garamond"/>
        </w:rPr>
        <w:t>The gallery is implementing social distancing measures and we kindly ask that guests wear appropriate personal protection equipment. Masks and hand sanitizer provided.</w:t>
      </w:r>
      <w:r w:rsidRPr="00776A42">
        <w:rPr>
          <w:rFonts w:ascii="Garamond" w:hAnsi="Garamond" w:hint="eastAsia"/>
        </w:rPr>
        <w:t xml:space="preserve"> </w:t>
      </w:r>
      <w:r w:rsidRPr="00776A42">
        <w:rPr>
          <w:rFonts w:ascii="Garamond" w:hAnsi="Garamond"/>
        </w:rPr>
        <w:t xml:space="preserve">For more information or to arrange a private viewing, please contact </w:t>
      </w:r>
      <w:r w:rsidRPr="00776A42">
        <w:rPr>
          <w:rFonts w:ascii="Garamond" w:hAnsi="Garamond" w:hint="eastAsia"/>
        </w:rPr>
        <w:t>the gallery</w:t>
      </w:r>
      <w:r w:rsidRPr="00776A42">
        <w:rPr>
          <w:rFonts w:ascii="Garamond" w:hAnsi="Garamond"/>
        </w:rPr>
        <w:t xml:space="preserve"> at (212) 333-2640 or at </w:t>
      </w:r>
      <w:hyperlink r:id="rId10" w:history="1">
        <w:r w:rsidRPr="00776A42">
          <w:rPr>
            <w:rStyle w:val="Hyperlink"/>
            <w:rFonts w:ascii="Garamond" w:hAnsi="Garamond"/>
          </w:rPr>
          <w:t>info@billhodgesgallery.com</w:t>
        </w:r>
      </w:hyperlink>
      <w:r w:rsidRPr="00776A42">
        <w:rPr>
          <w:rFonts w:ascii="Garamond" w:hAnsi="Garamond" w:hint="eastAsia"/>
        </w:rPr>
        <w:t>.</w:t>
      </w:r>
    </w:p>
    <w:p w:rsidR="00776A42" w:rsidRPr="00776A42" w:rsidRDefault="00776A42" w:rsidP="00776A42">
      <w:pPr>
        <w:jc w:val="both"/>
        <w:rPr>
          <w:rFonts w:ascii="Garamond" w:hAnsi="Garamond"/>
        </w:rPr>
      </w:pPr>
    </w:p>
    <w:p w:rsidR="006B4EDD" w:rsidRPr="00776A42" w:rsidRDefault="006B4EDD" w:rsidP="009209A8">
      <w:pPr>
        <w:jc w:val="both"/>
        <w:rPr>
          <w:rFonts w:ascii="Garamond" w:hAnsi="Garamond"/>
        </w:rPr>
      </w:pPr>
    </w:p>
    <w:sectPr w:rsidR="006B4EDD" w:rsidRPr="00776A42" w:rsidSect="00314F5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29" w:rsidRDefault="00AE0629" w:rsidP="00EA1FDA">
      <w:pPr>
        <w:spacing w:after="0" w:line="240" w:lineRule="auto"/>
      </w:pPr>
      <w:r>
        <w:separator/>
      </w:r>
    </w:p>
  </w:endnote>
  <w:endnote w:type="continuationSeparator" w:id="0">
    <w:p w:rsidR="00AE0629" w:rsidRDefault="00AE0629" w:rsidP="00EA1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ackers Gothic Std Heavy">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29" w:rsidRPr="00D3038E" w:rsidRDefault="00AE0629" w:rsidP="00D3038E">
    <w:pPr>
      <w:pStyle w:val="Header"/>
      <w:rPr>
        <w:rFonts w:ascii="Bookman Old Style" w:eastAsia="Arial Unicode MS" w:hAnsi="Bookman Old Style" w:cs="Arial Unicode MS"/>
        <w:sz w:val="20"/>
        <w:szCs w:val="20"/>
      </w:rPr>
    </w:pPr>
    <w:r w:rsidRPr="006B4EDD">
      <w:rPr>
        <w:rFonts w:ascii="Bookman Old Style" w:eastAsia="Arial Unicode MS" w:hAnsi="Bookman Old Style" w:cs="Arial Unicode MS"/>
        <w:sz w:val="20"/>
        <w:szCs w:val="20"/>
      </w:rPr>
      <w:t>529 West 20</w:t>
    </w:r>
    <w:r w:rsidRPr="006B4EDD">
      <w:rPr>
        <w:rFonts w:ascii="Bookman Old Style" w:eastAsia="Arial Unicode MS" w:hAnsi="Bookman Old Style" w:cs="Arial Unicode MS"/>
        <w:sz w:val="20"/>
        <w:szCs w:val="20"/>
        <w:vertAlign w:val="superscript"/>
      </w:rPr>
      <w:t>th</w:t>
    </w:r>
    <w:r w:rsidRPr="006B4EDD">
      <w:rPr>
        <w:rFonts w:ascii="Bookman Old Style" w:eastAsia="Arial Unicode MS" w:hAnsi="Bookman Old Style" w:cs="Arial Unicode MS"/>
        <w:sz w:val="20"/>
        <w:szCs w:val="20"/>
      </w:rPr>
      <w:t xml:space="preserve"> Str</w:t>
    </w:r>
    <w:r>
      <w:rPr>
        <w:rFonts w:ascii="Bookman Old Style" w:eastAsia="Arial Unicode MS" w:hAnsi="Bookman Old Style" w:cs="Arial Unicode MS"/>
        <w:sz w:val="20"/>
        <w:szCs w:val="20"/>
      </w:rPr>
      <w:t xml:space="preserve">eet, #10E, New York, NY 10011 ∙ 212-333-2640 ∙ </w:t>
    </w:r>
    <w:hyperlink r:id="rId1" w:history="1">
      <w:r w:rsidRPr="006B4EDD">
        <w:rPr>
          <w:rStyle w:val="Hyperlink"/>
          <w:rFonts w:ascii="Bookman Old Style" w:eastAsia="Arial Unicode MS" w:hAnsi="Bookman Old Style" w:cs="Arial Unicode MS"/>
          <w:color w:val="auto"/>
          <w:sz w:val="20"/>
          <w:szCs w:val="20"/>
          <w:u w:val="none"/>
        </w:rPr>
        <w:t>www.billhodgesgallery.com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29" w:rsidRDefault="00AE0629" w:rsidP="00EA1FDA">
      <w:pPr>
        <w:spacing w:after="0" w:line="240" w:lineRule="auto"/>
      </w:pPr>
      <w:r>
        <w:separator/>
      </w:r>
    </w:p>
  </w:footnote>
  <w:footnote w:type="continuationSeparator" w:id="0">
    <w:p w:rsidR="00AE0629" w:rsidRDefault="00AE0629" w:rsidP="00EA1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29" w:rsidRPr="000504EC" w:rsidRDefault="00AE0629" w:rsidP="00EA1FDA">
    <w:pPr>
      <w:pStyle w:val="Header"/>
      <w:jc w:val="center"/>
      <w:rPr>
        <w:rFonts w:ascii="Sackers Gothic Std Heavy" w:hAnsi="Sackers Gothic Std Heavy"/>
        <w:b/>
        <w:sz w:val="40"/>
        <w:szCs w:val="40"/>
      </w:rPr>
    </w:pPr>
    <w:r w:rsidRPr="000504EC">
      <w:rPr>
        <w:rFonts w:ascii="Sackers Gothic Std Heavy" w:hAnsi="Sackers Gothic Std Heavy"/>
        <w:b/>
        <w:sz w:val="40"/>
        <w:szCs w:val="40"/>
      </w:rPr>
      <w:t>Bill Hodges Gallery</w:t>
    </w:r>
  </w:p>
  <w:p w:rsidR="00AE0629" w:rsidRDefault="00AE0629" w:rsidP="006B4EDD">
    <w:pPr>
      <w:pStyle w:val="Header"/>
      <w:rPr>
        <w:rFonts w:ascii="Bookman Old Style" w:eastAsia="Arial Unicode MS" w:hAnsi="Bookman Old Style" w:cs="Arial Unicode MS"/>
        <w:sz w:val="18"/>
        <w:szCs w:val="18"/>
      </w:rPr>
    </w:pPr>
  </w:p>
  <w:p w:rsidR="00AE0629" w:rsidRDefault="00AB748B" w:rsidP="00EA1FDA">
    <w:pPr>
      <w:pStyle w:val="Header"/>
      <w:jc w:val="center"/>
      <w:rPr>
        <w:rFonts w:ascii="Bookman Old Style" w:eastAsia="Arial Unicode MS" w:hAnsi="Bookman Old Style" w:cs="Arial Unicode MS"/>
        <w:sz w:val="18"/>
        <w:szCs w:val="18"/>
      </w:rPr>
    </w:pPr>
    <w:r>
      <w:rPr>
        <w:rFonts w:ascii="Bookman Old Style" w:eastAsia="Arial Unicode MS" w:hAnsi="Bookman Old Style" w:cs="Arial Unicode MS"/>
        <w:noProof/>
        <w:sz w:val="18"/>
        <w:szCs w:val="18"/>
      </w:rPr>
      <w:pict>
        <v:shapetype id="_x0000_t32" coordsize="21600,21600" o:spt="32" o:oned="t" path="m,l21600,21600e" filled="f">
          <v:path arrowok="t" fillok="f" o:connecttype="none"/>
          <o:lock v:ext="edit" shapetype="t"/>
        </v:shapetype>
        <v:shape id="_x0000_s1026" type="#_x0000_t32" style="position:absolute;left:0;text-align:left;margin-left:201.75pt;margin-top:1.5pt;width:55.5pt;height:0;z-index:251658240" o:connectortype="straight"/>
      </w:pict>
    </w:r>
  </w:p>
  <w:p w:rsidR="00AE0629" w:rsidRPr="00EA1FDA" w:rsidRDefault="00AE0629" w:rsidP="00EA1FDA">
    <w:pPr>
      <w:pStyle w:val="Header"/>
      <w:jc w:val="center"/>
      <w:rPr>
        <w:rFonts w:ascii="Bookman Old Style" w:eastAsia="Arial Unicode MS" w:hAnsi="Bookman Old Style" w:cs="Arial Unicode M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4D8"/>
    <w:multiLevelType w:val="hybridMultilevel"/>
    <w:tmpl w:val="060C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B0AD0"/>
    <w:multiLevelType w:val="hybridMultilevel"/>
    <w:tmpl w:val="E91A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rules v:ext="edit">
        <o:r id="V:Rule2" type="connector" idref="#_x0000_s1026"/>
      </o:rules>
    </o:shapelayout>
  </w:hdrShapeDefaults>
  <w:footnotePr>
    <w:footnote w:id="-1"/>
    <w:footnote w:id="0"/>
  </w:footnotePr>
  <w:endnotePr>
    <w:endnote w:id="-1"/>
    <w:endnote w:id="0"/>
  </w:endnotePr>
  <w:compat>
    <w:useFELayout/>
  </w:compat>
  <w:rsids>
    <w:rsidRoot w:val="00EA1FDA"/>
    <w:rsid w:val="000123B0"/>
    <w:rsid w:val="000415DD"/>
    <w:rsid w:val="000504EC"/>
    <w:rsid w:val="00066ECB"/>
    <w:rsid w:val="00074751"/>
    <w:rsid w:val="00083DD5"/>
    <w:rsid w:val="000C4297"/>
    <w:rsid w:val="000E65DB"/>
    <w:rsid w:val="0010385E"/>
    <w:rsid w:val="0012644B"/>
    <w:rsid w:val="00137A74"/>
    <w:rsid w:val="00186E94"/>
    <w:rsid w:val="001E388E"/>
    <w:rsid w:val="001F30D6"/>
    <w:rsid w:val="001F3192"/>
    <w:rsid w:val="0021146E"/>
    <w:rsid w:val="0023506E"/>
    <w:rsid w:val="00243D5C"/>
    <w:rsid w:val="00245A68"/>
    <w:rsid w:val="002601A9"/>
    <w:rsid w:val="00263C81"/>
    <w:rsid w:val="002734A5"/>
    <w:rsid w:val="00277CEA"/>
    <w:rsid w:val="002878B2"/>
    <w:rsid w:val="002B632C"/>
    <w:rsid w:val="002C0F28"/>
    <w:rsid w:val="002D1505"/>
    <w:rsid w:val="003065F8"/>
    <w:rsid w:val="00314F5D"/>
    <w:rsid w:val="00346BBE"/>
    <w:rsid w:val="00364BA1"/>
    <w:rsid w:val="00377667"/>
    <w:rsid w:val="00381D93"/>
    <w:rsid w:val="003844A1"/>
    <w:rsid w:val="003B4F45"/>
    <w:rsid w:val="003E2AF6"/>
    <w:rsid w:val="003F3952"/>
    <w:rsid w:val="004112BE"/>
    <w:rsid w:val="0041141C"/>
    <w:rsid w:val="00414175"/>
    <w:rsid w:val="00420819"/>
    <w:rsid w:val="004472D4"/>
    <w:rsid w:val="00455EB8"/>
    <w:rsid w:val="00466D04"/>
    <w:rsid w:val="0046754D"/>
    <w:rsid w:val="004853A0"/>
    <w:rsid w:val="004B0B5F"/>
    <w:rsid w:val="004B727C"/>
    <w:rsid w:val="004E1BB2"/>
    <w:rsid w:val="004E3BE8"/>
    <w:rsid w:val="00505E4C"/>
    <w:rsid w:val="00527B2D"/>
    <w:rsid w:val="00554C6A"/>
    <w:rsid w:val="00581A2A"/>
    <w:rsid w:val="00596330"/>
    <w:rsid w:val="005A3664"/>
    <w:rsid w:val="005A369A"/>
    <w:rsid w:val="005C03A7"/>
    <w:rsid w:val="005E098A"/>
    <w:rsid w:val="005E50B7"/>
    <w:rsid w:val="005F580F"/>
    <w:rsid w:val="006037A1"/>
    <w:rsid w:val="0061061C"/>
    <w:rsid w:val="0063606B"/>
    <w:rsid w:val="006374AB"/>
    <w:rsid w:val="0065294D"/>
    <w:rsid w:val="00663BFB"/>
    <w:rsid w:val="006711BC"/>
    <w:rsid w:val="006816CA"/>
    <w:rsid w:val="00691DBE"/>
    <w:rsid w:val="006952A8"/>
    <w:rsid w:val="006A7BDF"/>
    <w:rsid w:val="006B4EDD"/>
    <w:rsid w:val="006D1428"/>
    <w:rsid w:val="006D1AC0"/>
    <w:rsid w:val="00703066"/>
    <w:rsid w:val="00722AE0"/>
    <w:rsid w:val="00767592"/>
    <w:rsid w:val="00767A1D"/>
    <w:rsid w:val="0077037C"/>
    <w:rsid w:val="00776A42"/>
    <w:rsid w:val="00776ABE"/>
    <w:rsid w:val="00781F7D"/>
    <w:rsid w:val="007838CB"/>
    <w:rsid w:val="00786A27"/>
    <w:rsid w:val="007B12B2"/>
    <w:rsid w:val="007C2806"/>
    <w:rsid w:val="007D2C21"/>
    <w:rsid w:val="007E09E0"/>
    <w:rsid w:val="007F4688"/>
    <w:rsid w:val="00812A46"/>
    <w:rsid w:val="0081709E"/>
    <w:rsid w:val="008208E0"/>
    <w:rsid w:val="00840757"/>
    <w:rsid w:val="00855B57"/>
    <w:rsid w:val="00887818"/>
    <w:rsid w:val="008A4BF5"/>
    <w:rsid w:val="008E477E"/>
    <w:rsid w:val="008E51DD"/>
    <w:rsid w:val="008E721D"/>
    <w:rsid w:val="00916A8D"/>
    <w:rsid w:val="00917FAC"/>
    <w:rsid w:val="009209A8"/>
    <w:rsid w:val="00954A4C"/>
    <w:rsid w:val="0095705F"/>
    <w:rsid w:val="009803BB"/>
    <w:rsid w:val="009E0A97"/>
    <w:rsid w:val="009E4DBE"/>
    <w:rsid w:val="00A0674F"/>
    <w:rsid w:val="00A13AF6"/>
    <w:rsid w:val="00A16ADF"/>
    <w:rsid w:val="00A206BB"/>
    <w:rsid w:val="00A300C8"/>
    <w:rsid w:val="00A42AF4"/>
    <w:rsid w:val="00A63D80"/>
    <w:rsid w:val="00A679C8"/>
    <w:rsid w:val="00A71A64"/>
    <w:rsid w:val="00AA424F"/>
    <w:rsid w:val="00AB748B"/>
    <w:rsid w:val="00AE0165"/>
    <w:rsid w:val="00AE0629"/>
    <w:rsid w:val="00AF3F4E"/>
    <w:rsid w:val="00B06E89"/>
    <w:rsid w:val="00B151BB"/>
    <w:rsid w:val="00B32A8C"/>
    <w:rsid w:val="00B33B8C"/>
    <w:rsid w:val="00B35D75"/>
    <w:rsid w:val="00B4607C"/>
    <w:rsid w:val="00B47AE3"/>
    <w:rsid w:val="00B85CD9"/>
    <w:rsid w:val="00BA1E9C"/>
    <w:rsid w:val="00BA1FA9"/>
    <w:rsid w:val="00BA556B"/>
    <w:rsid w:val="00BB3393"/>
    <w:rsid w:val="00BD30E0"/>
    <w:rsid w:val="00C00145"/>
    <w:rsid w:val="00C01E04"/>
    <w:rsid w:val="00C26D85"/>
    <w:rsid w:val="00C45AEE"/>
    <w:rsid w:val="00C85BC4"/>
    <w:rsid w:val="00C96D60"/>
    <w:rsid w:val="00CA12A5"/>
    <w:rsid w:val="00CC5BAC"/>
    <w:rsid w:val="00CD2791"/>
    <w:rsid w:val="00CD5C36"/>
    <w:rsid w:val="00CF434C"/>
    <w:rsid w:val="00D3038E"/>
    <w:rsid w:val="00D40CC6"/>
    <w:rsid w:val="00D63E0A"/>
    <w:rsid w:val="00D74AC3"/>
    <w:rsid w:val="00D95CF0"/>
    <w:rsid w:val="00DB2983"/>
    <w:rsid w:val="00DD23B9"/>
    <w:rsid w:val="00E178F4"/>
    <w:rsid w:val="00E30B8C"/>
    <w:rsid w:val="00E46B82"/>
    <w:rsid w:val="00E752AB"/>
    <w:rsid w:val="00E866B0"/>
    <w:rsid w:val="00E930F8"/>
    <w:rsid w:val="00EA1FDA"/>
    <w:rsid w:val="00EE12C9"/>
    <w:rsid w:val="00EF1876"/>
    <w:rsid w:val="00EF6C08"/>
    <w:rsid w:val="00F10C52"/>
    <w:rsid w:val="00F26139"/>
    <w:rsid w:val="00F26275"/>
    <w:rsid w:val="00F31CF0"/>
    <w:rsid w:val="00F529CC"/>
    <w:rsid w:val="00F77D7A"/>
    <w:rsid w:val="00FE5CA7"/>
    <w:rsid w:val="00FF16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FDA"/>
  </w:style>
  <w:style w:type="paragraph" w:styleId="Footer">
    <w:name w:val="footer"/>
    <w:basedOn w:val="Normal"/>
    <w:link w:val="FooterChar"/>
    <w:uiPriority w:val="99"/>
    <w:semiHidden/>
    <w:unhideWhenUsed/>
    <w:rsid w:val="00EA1F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FDA"/>
  </w:style>
  <w:style w:type="character" w:styleId="Hyperlink">
    <w:name w:val="Hyperlink"/>
    <w:basedOn w:val="DefaultParagraphFont"/>
    <w:uiPriority w:val="99"/>
    <w:unhideWhenUsed/>
    <w:rsid w:val="00EA1FDA"/>
    <w:rPr>
      <w:color w:val="0000FF" w:themeColor="hyperlink"/>
      <w:u w:val="single"/>
    </w:rPr>
  </w:style>
  <w:style w:type="paragraph" w:styleId="BalloonText">
    <w:name w:val="Balloon Text"/>
    <w:basedOn w:val="Normal"/>
    <w:link w:val="BalloonTextChar"/>
    <w:uiPriority w:val="99"/>
    <w:semiHidden/>
    <w:unhideWhenUsed/>
    <w:rsid w:val="006B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DD"/>
    <w:rPr>
      <w:rFonts w:ascii="Tahoma" w:hAnsi="Tahoma" w:cs="Tahoma"/>
      <w:sz w:val="16"/>
      <w:szCs w:val="16"/>
    </w:rPr>
  </w:style>
  <w:style w:type="paragraph" w:styleId="NormalWeb">
    <w:name w:val="Normal (Web)"/>
    <w:basedOn w:val="Normal"/>
    <w:uiPriority w:val="99"/>
    <w:semiHidden/>
    <w:unhideWhenUsed/>
    <w:rsid w:val="006B4ED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1A64"/>
    <w:rPr>
      <w:color w:val="800080" w:themeColor="followedHyperlink"/>
      <w:u w:val="single"/>
    </w:rPr>
  </w:style>
  <w:style w:type="paragraph" w:styleId="DocumentMap">
    <w:name w:val="Document Map"/>
    <w:basedOn w:val="Normal"/>
    <w:link w:val="DocumentMapChar"/>
    <w:uiPriority w:val="99"/>
    <w:semiHidden/>
    <w:unhideWhenUsed/>
    <w:rsid w:val="003776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7667"/>
    <w:rPr>
      <w:rFonts w:ascii="Tahoma" w:hAnsi="Tahoma" w:cs="Tahoma"/>
      <w:sz w:val="16"/>
      <w:szCs w:val="16"/>
    </w:rPr>
  </w:style>
  <w:style w:type="paragraph" w:styleId="ListParagraph">
    <w:name w:val="List Paragraph"/>
    <w:basedOn w:val="Normal"/>
    <w:uiPriority w:val="34"/>
    <w:qFormat/>
    <w:rsid w:val="009E0A97"/>
    <w:pPr>
      <w:ind w:left="720"/>
      <w:contextualSpacing/>
    </w:pPr>
  </w:style>
  <w:style w:type="paragraph" w:styleId="Caption">
    <w:name w:val="caption"/>
    <w:basedOn w:val="Normal"/>
    <w:next w:val="Normal"/>
    <w:uiPriority w:val="35"/>
    <w:unhideWhenUsed/>
    <w:qFormat/>
    <w:rsid w:val="00776A42"/>
    <w:pPr>
      <w:spacing w:line="240" w:lineRule="auto"/>
    </w:pPr>
    <w:rPr>
      <w:b/>
      <w:bCs/>
      <w:color w:val="4F81BD" w:themeColor="accent1"/>
      <w:sz w:val="18"/>
      <w:szCs w:val="18"/>
      <w:lang w:val="en-GB"/>
    </w:rPr>
  </w:style>
</w:styles>
</file>

<file path=word/webSettings.xml><?xml version="1.0" encoding="utf-8"?>
<w:webSettings xmlns:r="http://schemas.openxmlformats.org/officeDocument/2006/relationships" xmlns:w="http://schemas.openxmlformats.org/wordprocessingml/2006/main">
  <w:divs>
    <w:div w:id="19370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billhodgesgaller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llhodges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Hodges Gallery</dc:creator>
  <cp:lastModifiedBy>Bill Hodges Gallery</cp:lastModifiedBy>
  <cp:revision>17</cp:revision>
  <cp:lastPrinted>2022-02-11T15:19:00Z</cp:lastPrinted>
  <dcterms:created xsi:type="dcterms:W3CDTF">2022-02-08T22:40:00Z</dcterms:created>
  <dcterms:modified xsi:type="dcterms:W3CDTF">2022-02-11T15:21:00Z</dcterms:modified>
</cp:coreProperties>
</file>